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机械工程学院2020年接收本科生转专业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工作细则</w:t>
      </w:r>
    </w:p>
    <w:p>
      <w:pPr>
        <w:ind w:firstLine="660"/>
        <w:rPr>
          <w:rFonts w:ascii="仿宋" w:hAnsi="仿宋" w:eastAsia="仿宋"/>
          <w:sz w:val="28"/>
          <w:szCs w:val="28"/>
        </w:rPr>
      </w:pPr>
      <w:r>
        <w:rPr>
          <w:rFonts w:hint="eastAsia" w:ascii="仿宋" w:hAnsi="仿宋" w:eastAsia="仿宋"/>
          <w:sz w:val="28"/>
          <w:szCs w:val="28"/>
        </w:rPr>
        <w:t>根据《天津科技大本科生转专业实施办法》（津科大发[2020]14号）文件精神，结合我院工作实际，制定本细则。</w:t>
      </w:r>
    </w:p>
    <w:p>
      <w:pPr>
        <w:numPr>
          <w:ilvl w:val="0"/>
          <w:numId w:val="1"/>
        </w:numPr>
        <w:ind w:firstLine="660"/>
        <w:rPr>
          <w:rFonts w:ascii="仿宋" w:hAnsi="仿宋" w:eastAsia="仿宋"/>
          <w:b/>
          <w:sz w:val="28"/>
          <w:szCs w:val="28"/>
        </w:rPr>
      </w:pPr>
      <w:r>
        <w:rPr>
          <w:rFonts w:hint="eastAsia" w:ascii="仿宋" w:hAnsi="仿宋" w:eastAsia="仿宋"/>
          <w:b/>
          <w:sz w:val="28"/>
          <w:szCs w:val="28"/>
        </w:rPr>
        <w:t>学院转专业工作组</w:t>
      </w:r>
    </w:p>
    <w:p>
      <w:pPr>
        <w:widowControl/>
        <w:shd w:val="clear" w:color="auto" w:fill="FFFFFF"/>
        <w:spacing w:line="500" w:lineRule="exact"/>
        <w:ind w:firstLine="560" w:firstLineChars="200"/>
        <w:jc w:val="left"/>
        <w:rPr>
          <w:rFonts w:ascii="仿宋" w:hAnsi="仿宋" w:eastAsia="仿宋" w:cs="仿宋"/>
          <w:kern w:val="0"/>
          <w:sz w:val="28"/>
          <w:szCs w:val="28"/>
        </w:rPr>
      </w:pPr>
      <w:r>
        <w:rPr>
          <w:rFonts w:ascii="仿宋" w:hAnsi="仿宋" w:eastAsia="仿宋" w:cs="仿宋"/>
          <w:kern w:val="0"/>
          <w:sz w:val="28"/>
          <w:szCs w:val="28"/>
        </w:rPr>
        <w:t>组长</w:t>
      </w:r>
      <w:r>
        <w:rPr>
          <w:rFonts w:hint="eastAsia" w:ascii="仿宋" w:hAnsi="仿宋" w:eastAsia="仿宋" w:cs="仿宋"/>
          <w:kern w:val="0"/>
          <w:sz w:val="28"/>
          <w:szCs w:val="28"/>
        </w:rPr>
        <w:t>：魏连江 张峻霞</w:t>
      </w:r>
    </w:p>
    <w:p>
      <w:pPr>
        <w:widowControl/>
        <w:shd w:val="clear" w:color="auto" w:fill="FFFFFF"/>
        <w:spacing w:line="50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副组长：李亚 杜岩刚 李建宇</w:t>
      </w:r>
    </w:p>
    <w:p>
      <w:pPr>
        <w:ind w:firstLine="560" w:firstLineChars="200"/>
        <w:rPr>
          <w:rFonts w:ascii="仿宋" w:hAnsi="仿宋" w:eastAsia="仿宋"/>
          <w:b/>
          <w:sz w:val="28"/>
          <w:szCs w:val="28"/>
        </w:rPr>
      </w:pPr>
      <w:r>
        <w:rPr>
          <w:rFonts w:hint="eastAsia" w:ascii="仿宋" w:hAnsi="仿宋" w:eastAsia="仿宋" w:cs="仿宋"/>
          <w:kern w:val="0"/>
          <w:sz w:val="28"/>
          <w:szCs w:val="28"/>
        </w:rPr>
        <w:t>成员：</w:t>
      </w:r>
      <w:r>
        <w:rPr>
          <w:rFonts w:ascii="仿宋" w:hAnsi="仿宋" w:eastAsia="仿宋" w:cs="仿宋"/>
          <w:kern w:val="0"/>
          <w:sz w:val="28"/>
          <w:szCs w:val="28"/>
        </w:rPr>
        <w:t xml:space="preserve"> </w:t>
      </w:r>
      <w:r>
        <w:rPr>
          <w:rFonts w:hint="eastAsia" w:ascii="仿宋" w:hAnsi="仿宋" w:eastAsia="仿宋" w:cs="仿宋"/>
          <w:kern w:val="0"/>
          <w:sz w:val="28"/>
          <w:szCs w:val="28"/>
        </w:rPr>
        <w:t>各专业系主任</w:t>
      </w:r>
    </w:p>
    <w:p>
      <w:pPr>
        <w:ind w:firstLine="660"/>
        <w:rPr>
          <w:rFonts w:ascii="仿宋" w:hAnsi="仿宋" w:eastAsia="仿宋"/>
          <w:b/>
          <w:sz w:val="28"/>
          <w:szCs w:val="28"/>
        </w:rPr>
      </w:pPr>
      <w:r>
        <w:rPr>
          <w:rFonts w:hint="eastAsia" w:ascii="仿宋" w:hAnsi="仿宋" w:eastAsia="仿宋"/>
          <w:b/>
          <w:sz w:val="28"/>
          <w:szCs w:val="28"/>
        </w:rPr>
        <w:t>二、接收专业及名额</w:t>
      </w:r>
    </w:p>
    <w:tbl>
      <w:tblPr>
        <w:tblStyle w:val="7"/>
        <w:tblW w:w="8096" w:type="dxa"/>
        <w:tblInd w:w="118"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15" w:type="dxa"/>
          <w:left w:w="15" w:type="dxa"/>
          <w:bottom w:w="15" w:type="dxa"/>
          <w:right w:w="15" w:type="dxa"/>
        </w:tblCellMar>
      </w:tblPr>
      <w:tblGrid>
        <w:gridCol w:w="752"/>
        <w:gridCol w:w="2672"/>
        <w:gridCol w:w="1369"/>
        <w:gridCol w:w="1500"/>
        <w:gridCol w:w="1803"/>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480" w:hRule="atLeast"/>
        </w:trPr>
        <w:tc>
          <w:tcPr>
            <w:tcW w:w="3424" w:type="dxa"/>
            <w:gridSpan w:val="2"/>
            <w:vMerge w:val="restart"/>
            <w:tcBorders>
              <w:bottom w:val="single" w:color="000000" w:sz="4" w:space="0"/>
              <w:right w:val="single" w:color="000000" w:sz="4" w:space="0"/>
            </w:tcBorders>
            <w:vAlign w:val="center"/>
          </w:tcPr>
          <w:p>
            <w:pPr>
              <w:widowControl/>
              <w:jc w:val="center"/>
              <w:textAlignment w:val="center"/>
              <w:rPr>
                <w:rFonts w:ascii="宋体" w:cs="宋体"/>
                <w:b/>
                <w:color w:val="000000"/>
                <w:sz w:val="24"/>
                <w:szCs w:val="24"/>
              </w:rPr>
            </w:pPr>
            <w:r>
              <w:rPr>
                <w:rFonts w:hint="eastAsia" w:ascii="宋体" w:hAnsi="宋体" w:cs="宋体"/>
                <w:b/>
                <w:color w:val="000000"/>
                <w:kern w:val="0"/>
                <w:sz w:val="24"/>
                <w:szCs w:val="24"/>
              </w:rPr>
              <w:t>专业名称</w:t>
            </w:r>
          </w:p>
        </w:tc>
        <w:tc>
          <w:tcPr>
            <w:tcW w:w="4672" w:type="dxa"/>
            <w:gridSpan w:val="3"/>
            <w:tcBorders>
              <w:left w:val="single" w:color="000000" w:sz="4" w:space="0"/>
              <w:bottom w:val="single" w:color="000000" w:sz="4" w:space="0"/>
            </w:tcBorders>
            <w:vAlign w:val="center"/>
          </w:tcPr>
          <w:p>
            <w:pPr>
              <w:widowControl/>
              <w:jc w:val="center"/>
              <w:textAlignment w:val="center"/>
              <w:rPr>
                <w:rFonts w:ascii="宋体" w:hAnsi="宋体" w:cs="宋体"/>
                <w:b/>
                <w:color w:val="000000"/>
                <w:kern w:val="0"/>
                <w:sz w:val="24"/>
                <w:szCs w:val="24"/>
              </w:rPr>
            </w:pPr>
            <w:r>
              <w:rPr>
                <w:rFonts w:hint="eastAsia" w:ascii="宋体" w:hAnsi="宋体" w:cs="宋体"/>
                <w:b/>
                <w:color w:val="000000"/>
                <w:kern w:val="0"/>
                <w:sz w:val="24"/>
                <w:szCs w:val="24"/>
              </w:rPr>
              <w:t>名额</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1561" w:hRule="atLeast"/>
        </w:trPr>
        <w:tc>
          <w:tcPr>
            <w:tcW w:w="3424" w:type="dxa"/>
            <w:gridSpan w:val="2"/>
            <w:vMerge w:val="continue"/>
            <w:tcBorders>
              <w:top w:val="single" w:color="000000" w:sz="4" w:space="0"/>
              <w:bottom w:val="single" w:color="000000" w:sz="4" w:space="0"/>
              <w:right w:val="single" w:color="000000" w:sz="4" w:space="0"/>
            </w:tcBorders>
            <w:vAlign w:val="center"/>
          </w:tcPr>
          <w:p>
            <w:pPr>
              <w:jc w:val="center"/>
              <w:rPr>
                <w:rFonts w:ascii="宋体" w:cs="宋体"/>
                <w:b/>
                <w:color w:val="000000"/>
                <w:sz w:val="24"/>
                <w:szCs w:val="24"/>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24"/>
                <w:szCs w:val="24"/>
              </w:rPr>
            </w:pPr>
            <w:r>
              <w:rPr>
                <w:rFonts w:hint="eastAsia" w:ascii="宋体" w:hAnsi="宋体" w:cs="宋体"/>
                <w:b/>
                <w:color w:val="000000"/>
                <w:kern w:val="0"/>
                <w:sz w:val="24"/>
                <w:szCs w:val="24"/>
              </w:rPr>
              <w:t>总名额</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24"/>
                <w:szCs w:val="24"/>
              </w:rPr>
            </w:pPr>
            <w:r>
              <w:rPr>
                <w:rFonts w:hint="eastAsia" w:ascii="宋体" w:cs="宋体"/>
                <w:b/>
                <w:color w:val="000000"/>
                <w:sz w:val="24"/>
                <w:szCs w:val="24"/>
              </w:rPr>
              <w:t>普通类</w:t>
            </w: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24"/>
                <w:szCs w:val="24"/>
              </w:rPr>
            </w:pPr>
            <w:r>
              <w:rPr>
                <w:rFonts w:hint="eastAsia" w:ascii="宋体" w:hAnsi="宋体" w:cs="宋体"/>
                <w:b/>
                <w:color w:val="000000"/>
                <w:kern w:val="0"/>
                <w:sz w:val="24"/>
                <w:szCs w:val="24"/>
              </w:rPr>
              <w:t>可接收第九条所列情形的名额</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733" w:hRule="atLeast"/>
        </w:trPr>
        <w:tc>
          <w:tcPr>
            <w:tcW w:w="752" w:type="dxa"/>
            <w:vMerge w:val="restart"/>
            <w:tcBorders>
              <w:top w:val="single" w:color="000000" w:sz="4" w:space="0"/>
              <w:right w:val="single" w:color="000000" w:sz="4" w:space="0"/>
            </w:tcBorders>
            <w:vAlign w:val="center"/>
          </w:tcPr>
          <w:p>
            <w:pPr>
              <w:widowControl/>
              <w:jc w:val="center"/>
              <w:textAlignment w:val="center"/>
              <w:rPr>
                <w:rFonts w:ascii="宋体" w:cs="宋体"/>
                <w:color w:val="000000"/>
                <w:sz w:val="24"/>
                <w:szCs w:val="24"/>
              </w:rPr>
            </w:pPr>
            <w:r>
              <w:rPr>
                <w:rFonts w:hint="eastAsia" w:ascii="宋体" w:hAnsi="宋体" w:cs="宋体"/>
                <w:color w:val="000000"/>
                <w:kern w:val="0"/>
                <w:sz w:val="24"/>
                <w:szCs w:val="24"/>
              </w:rPr>
              <w:t>机械类</w:t>
            </w: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szCs w:val="24"/>
              </w:rPr>
            </w:pPr>
            <w:r>
              <w:rPr>
                <w:rFonts w:hint="eastAsia" w:ascii="宋体" w:hAnsi="宋体" w:cs="宋体"/>
                <w:color w:val="000000"/>
                <w:kern w:val="0"/>
                <w:sz w:val="24"/>
                <w:szCs w:val="24"/>
              </w:rPr>
              <w:t>机械电子工程</w:t>
            </w: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eastAsia="宋体" w:cs="宋体"/>
                <w:sz w:val="24"/>
                <w:szCs w:val="24"/>
              </w:rPr>
            </w:pPr>
            <w:r>
              <w:rPr>
                <w:rFonts w:hint="eastAsia" w:ascii="宋体" w:eastAsia="宋体" w:cs="宋体"/>
                <w:sz w:val="24"/>
                <w:szCs w:val="24"/>
              </w:rPr>
              <w:t>4</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sz w:val="24"/>
                <w:szCs w:val="24"/>
              </w:rPr>
            </w:pPr>
            <w:r>
              <w:rPr>
                <w:rFonts w:hint="eastAsia" w:ascii="宋体" w:cs="宋体"/>
                <w:sz w:val="24"/>
                <w:szCs w:val="24"/>
              </w:rPr>
              <w:t>4</w:t>
            </w: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kern w:val="0"/>
                <w:sz w:val="24"/>
                <w:szCs w:val="24"/>
              </w:rPr>
            </w:pPr>
            <w:r>
              <w:rPr>
                <w:rFonts w:ascii="宋体" w:cs="宋体"/>
                <w:kern w:val="0"/>
                <w:sz w:val="24"/>
                <w:szCs w:val="24"/>
              </w:rPr>
              <w:t>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913" w:hRule="atLeast"/>
        </w:trPr>
        <w:tc>
          <w:tcPr>
            <w:tcW w:w="752" w:type="dxa"/>
            <w:vMerge w:val="continue"/>
            <w:tcBorders>
              <w:top w:val="single" w:color="000000" w:sz="4" w:space="0"/>
              <w:right w:val="single" w:color="000000" w:sz="4" w:space="0"/>
            </w:tcBorders>
            <w:vAlign w:val="center"/>
          </w:tcPr>
          <w:p>
            <w:pPr>
              <w:jc w:val="center"/>
              <w:rPr>
                <w:rFonts w:ascii="宋体" w:cs="宋体"/>
                <w:color w:val="000000"/>
                <w:sz w:val="24"/>
                <w:szCs w:val="24"/>
              </w:rPr>
            </w:pP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szCs w:val="24"/>
              </w:rPr>
            </w:pPr>
            <w:r>
              <w:rPr>
                <w:rFonts w:hint="eastAsia" w:ascii="宋体" w:hAnsi="宋体" w:cs="宋体"/>
                <w:color w:val="000000"/>
                <w:kern w:val="0"/>
                <w:sz w:val="24"/>
                <w:szCs w:val="24"/>
              </w:rPr>
              <w:t>机械设计制造及其自动化</w:t>
            </w: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eastAsia="宋体" w:cs="宋体"/>
                <w:sz w:val="24"/>
                <w:szCs w:val="24"/>
              </w:rPr>
            </w:pPr>
            <w:r>
              <w:rPr>
                <w:rFonts w:hint="eastAsia" w:ascii="宋体" w:eastAsia="宋体" w:cs="宋体"/>
                <w:sz w:val="24"/>
                <w:szCs w:val="24"/>
              </w:rPr>
              <w:t>4</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sz w:val="24"/>
                <w:szCs w:val="24"/>
              </w:rPr>
            </w:pPr>
            <w:r>
              <w:rPr>
                <w:rFonts w:hint="eastAsia" w:ascii="宋体" w:cs="宋体"/>
                <w:sz w:val="24"/>
                <w:szCs w:val="24"/>
              </w:rPr>
              <w:t>4</w:t>
            </w: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kern w:val="0"/>
                <w:sz w:val="24"/>
                <w:szCs w:val="24"/>
              </w:rPr>
            </w:pPr>
            <w:r>
              <w:rPr>
                <w:rFonts w:ascii="宋体" w:cs="宋体"/>
                <w:kern w:val="0"/>
                <w:sz w:val="24"/>
                <w:szCs w:val="24"/>
              </w:rPr>
              <w:t>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913" w:hRule="atLeast"/>
        </w:trPr>
        <w:tc>
          <w:tcPr>
            <w:tcW w:w="752" w:type="dxa"/>
            <w:vMerge w:val="continue"/>
            <w:tcBorders>
              <w:top w:val="single" w:color="000000" w:sz="4" w:space="0"/>
              <w:right w:val="single" w:color="000000" w:sz="4" w:space="0"/>
            </w:tcBorders>
            <w:vAlign w:val="center"/>
          </w:tcPr>
          <w:p>
            <w:pPr>
              <w:jc w:val="center"/>
              <w:rPr>
                <w:rFonts w:ascii="宋体" w:cs="宋体"/>
                <w:color w:val="000000"/>
                <w:sz w:val="24"/>
                <w:szCs w:val="24"/>
              </w:rPr>
            </w:pP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szCs w:val="24"/>
              </w:rPr>
            </w:pPr>
            <w:r>
              <w:rPr>
                <w:rFonts w:hint="eastAsia" w:ascii="宋体" w:hAnsi="宋体" w:cs="宋体"/>
                <w:color w:val="000000"/>
                <w:kern w:val="0"/>
                <w:sz w:val="24"/>
                <w:szCs w:val="24"/>
              </w:rPr>
              <w:t>过程装备与控制工程</w:t>
            </w:r>
            <w:r>
              <w:rPr>
                <w:rFonts w:hint="eastAsia" w:ascii="宋体" w:hAnsi="宋体" w:eastAsia="宋体" w:cs="宋体"/>
                <w:color w:val="000000"/>
                <w:kern w:val="0"/>
                <w:sz w:val="24"/>
                <w:szCs w:val="24"/>
              </w:rPr>
              <w:t>*</w:t>
            </w: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eastAsia="宋体" w:cs="宋体"/>
                <w:sz w:val="24"/>
                <w:szCs w:val="24"/>
              </w:rPr>
            </w:pPr>
            <w:r>
              <w:rPr>
                <w:rFonts w:hint="eastAsia" w:ascii="宋体" w:eastAsia="宋体" w:cs="宋体"/>
                <w:sz w:val="24"/>
                <w:szCs w:val="24"/>
              </w:rPr>
              <w:t>4</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sz w:val="24"/>
                <w:szCs w:val="24"/>
              </w:rPr>
            </w:pPr>
            <w:r>
              <w:rPr>
                <w:rFonts w:hint="eastAsia" w:ascii="宋体" w:cs="宋体"/>
                <w:sz w:val="24"/>
                <w:szCs w:val="24"/>
              </w:rPr>
              <w:t>3</w:t>
            </w: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4"/>
                <w:szCs w:val="24"/>
              </w:rPr>
            </w:pPr>
            <w:r>
              <w:rPr>
                <w:rFonts w:ascii="宋体" w:hAnsi="宋体" w:cs="宋体"/>
                <w:kern w:val="0"/>
                <w:sz w:val="24"/>
                <w:szCs w:val="24"/>
              </w:rPr>
              <w:t>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1138" w:hRule="atLeast"/>
        </w:trPr>
        <w:tc>
          <w:tcPr>
            <w:tcW w:w="752" w:type="dxa"/>
            <w:vMerge w:val="continue"/>
            <w:tcBorders>
              <w:top w:val="single" w:color="000000" w:sz="4" w:space="0"/>
              <w:right w:val="single" w:color="000000" w:sz="4" w:space="0"/>
            </w:tcBorders>
            <w:vAlign w:val="center"/>
          </w:tcPr>
          <w:p>
            <w:pPr>
              <w:jc w:val="center"/>
              <w:rPr>
                <w:rFonts w:ascii="宋体" w:cs="宋体"/>
                <w:color w:val="000000"/>
                <w:sz w:val="24"/>
                <w:szCs w:val="24"/>
              </w:rPr>
            </w:pP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szCs w:val="24"/>
              </w:rPr>
            </w:pPr>
            <w:r>
              <w:rPr>
                <w:rFonts w:hint="eastAsia" w:ascii="宋体" w:hAnsi="宋体" w:cs="宋体"/>
                <w:color w:val="000000"/>
                <w:kern w:val="0"/>
                <w:sz w:val="24"/>
                <w:szCs w:val="24"/>
              </w:rPr>
              <w:t>材料成型及控制工程</w:t>
            </w: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eastAsia="宋体" w:cs="宋体"/>
                <w:sz w:val="24"/>
                <w:szCs w:val="24"/>
              </w:rPr>
            </w:pPr>
            <w:r>
              <w:rPr>
                <w:rFonts w:hint="eastAsia" w:ascii="宋体" w:eastAsia="宋体" w:cs="宋体"/>
                <w:sz w:val="24"/>
                <w:szCs w:val="24"/>
              </w:rPr>
              <w:t>4</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sz w:val="24"/>
                <w:szCs w:val="24"/>
              </w:rPr>
            </w:pPr>
            <w:r>
              <w:rPr>
                <w:rFonts w:hint="eastAsia" w:ascii="宋体" w:cs="宋体"/>
                <w:sz w:val="24"/>
                <w:szCs w:val="24"/>
              </w:rPr>
              <w:t>3</w:t>
            </w: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4"/>
                <w:szCs w:val="24"/>
              </w:rPr>
            </w:pPr>
            <w:r>
              <w:rPr>
                <w:rFonts w:ascii="宋体" w:hAnsi="宋体" w:cs="宋体"/>
                <w:kern w:val="0"/>
                <w:sz w:val="24"/>
                <w:szCs w:val="24"/>
              </w:rPr>
              <w:t>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808" w:hRule="atLeast"/>
        </w:trPr>
        <w:tc>
          <w:tcPr>
            <w:tcW w:w="752" w:type="dxa"/>
            <w:vMerge w:val="continue"/>
            <w:tcBorders>
              <w:top w:val="single" w:color="000000" w:sz="4" w:space="0"/>
              <w:right w:val="single" w:color="000000" w:sz="4" w:space="0"/>
            </w:tcBorders>
            <w:vAlign w:val="center"/>
          </w:tcPr>
          <w:p>
            <w:pPr>
              <w:jc w:val="center"/>
              <w:rPr>
                <w:rFonts w:ascii="宋体" w:cs="宋体"/>
                <w:color w:val="000000"/>
                <w:sz w:val="24"/>
                <w:szCs w:val="24"/>
              </w:rPr>
            </w:pPr>
          </w:p>
        </w:tc>
        <w:tc>
          <w:tcPr>
            <w:tcW w:w="26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szCs w:val="24"/>
              </w:rPr>
            </w:pPr>
            <w:r>
              <w:rPr>
                <w:rFonts w:hint="eastAsia" w:ascii="宋体" w:hAnsi="宋体" w:cs="宋体"/>
                <w:color w:val="000000"/>
                <w:kern w:val="0"/>
                <w:sz w:val="24"/>
                <w:szCs w:val="24"/>
              </w:rPr>
              <w:t>工业设计</w:t>
            </w:r>
            <w:r>
              <w:rPr>
                <w:rFonts w:hint="eastAsia" w:ascii="宋体" w:hAnsi="宋体" w:eastAsia="宋体" w:cs="宋体"/>
                <w:color w:val="000000"/>
                <w:kern w:val="0"/>
                <w:sz w:val="24"/>
                <w:szCs w:val="24"/>
              </w:rPr>
              <w:t>*</w:t>
            </w: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eastAsia="宋体" w:cs="宋体"/>
                <w:sz w:val="24"/>
                <w:szCs w:val="24"/>
              </w:rPr>
            </w:pPr>
            <w:r>
              <w:rPr>
                <w:rFonts w:hint="eastAsia" w:ascii="宋体" w:hAnsi="宋体" w:cs="宋体"/>
                <w:kern w:val="0"/>
                <w:sz w:val="24"/>
                <w:szCs w:val="24"/>
              </w:rPr>
              <w:t>2</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eastAsia="宋体" w:cs="宋体"/>
                <w:sz w:val="24"/>
                <w:szCs w:val="24"/>
              </w:rPr>
            </w:pPr>
            <w:r>
              <w:rPr>
                <w:rFonts w:hint="eastAsia" w:ascii="宋体" w:eastAsia="宋体" w:cs="宋体"/>
                <w:sz w:val="24"/>
                <w:szCs w:val="24"/>
              </w:rPr>
              <w:t>2</w:t>
            </w: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1038" w:hRule="atLeast"/>
        </w:trPr>
        <w:tc>
          <w:tcPr>
            <w:tcW w:w="752" w:type="dxa"/>
            <w:vMerge w:val="continue"/>
            <w:tcBorders>
              <w:top w:val="single" w:color="000000" w:sz="4" w:space="0"/>
              <w:right w:val="single" w:color="000000" w:sz="4" w:space="0"/>
            </w:tcBorders>
            <w:vAlign w:val="center"/>
          </w:tcPr>
          <w:p>
            <w:pPr>
              <w:jc w:val="center"/>
              <w:rPr>
                <w:rFonts w:ascii="宋体" w:cs="宋体"/>
                <w:color w:val="000000"/>
                <w:sz w:val="24"/>
                <w:szCs w:val="24"/>
              </w:rPr>
            </w:pPr>
          </w:p>
        </w:tc>
        <w:tc>
          <w:tcPr>
            <w:tcW w:w="2672" w:type="dxa"/>
            <w:tcBorders>
              <w:top w:val="single" w:color="000000" w:sz="4" w:space="0"/>
              <w:left w:val="single" w:color="000000" w:sz="4" w:space="0"/>
              <w:right w:val="single" w:color="000000" w:sz="4" w:space="0"/>
            </w:tcBorders>
            <w:vAlign w:val="center"/>
          </w:tcPr>
          <w:p>
            <w:pPr>
              <w:widowControl/>
              <w:jc w:val="center"/>
              <w:textAlignment w:val="center"/>
              <w:rPr>
                <w:rFonts w:ascii="宋体" w:cs="宋体"/>
                <w:color w:val="000000"/>
                <w:sz w:val="24"/>
                <w:szCs w:val="24"/>
              </w:rPr>
            </w:pPr>
            <w:r>
              <w:rPr>
                <w:rFonts w:hint="eastAsia" w:ascii="宋体" w:hAnsi="宋体" w:cs="宋体"/>
                <w:color w:val="000000"/>
                <w:kern w:val="0"/>
                <w:sz w:val="24"/>
                <w:szCs w:val="24"/>
              </w:rPr>
              <w:t>车辆工程</w:t>
            </w:r>
            <w:r>
              <w:rPr>
                <w:rFonts w:hint="eastAsia" w:ascii="宋体" w:hAnsi="宋体" w:eastAsia="宋体" w:cs="宋体"/>
                <w:color w:val="000000"/>
                <w:kern w:val="0"/>
                <w:sz w:val="24"/>
                <w:szCs w:val="24"/>
              </w:rPr>
              <w:t>*</w:t>
            </w:r>
          </w:p>
        </w:tc>
        <w:tc>
          <w:tcPr>
            <w:tcW w:w="1369" w:type="dxa"/>
            <w:tcBorders>
              <w:top w:val="single" w:color="000000" w:sz="4" w:space="0"/>
              <w:left w:val="single" w:color="000000" w:sz="4" w:space="0"/>
              <w:right w:val="single" w:color="000000" w:sz="4" w:space="0"/>
            </w:tcBorders>
            <w:vAlign w:val="center"/>
          </w:tcPr>
          <w:p>
            <w:pPr>
              <w:widowControl/>
              <w:jc w:val="center"/>
              <w:textAlignment w:val="center"/>
              <w:rPr>
                <w:rFonts w:ascii="宋体" w:eastAsia="宋体" w:cs="宋体"/>
                <w:sz w:val="24"/>
                <w:szCs w:val="24"/>
              </w:rPr>
            </w:pPr>
            <w:r>
              <w:rPr>
                <w:rFonts w:hint="eastAsia" w:ascii="宋体" w:hAnsi="宋体" w:cs="宋体"/>
                <w:kern w:val="0"/>
                <w:sz w:val="24"/>
                <w:szCs w:val="24"/>
              </w:rPr>
              <w:t>2</w:t>
            </w:r>
          </w:p>
        </w:tc>
        <w:tc>
          <w:tcPr>
            <w:tcW w:w="1500" w:type="dxa"/>
            <w:tcBorders>
              <w:top w:val="single" w:color="000000" w:sz="4" w:space="0"/>
              <w:left w:val="single" w:color="000000" w:sz="4" w:space="0"/>
              <w:right w:val="single" w:color="000000" w:sz="4" w:space="0"/>
            </w:tcBorders>
            <w:vAlign w:val="center"/>
          </w:tcPr>
          <w:p>
            <w:pPr>
              <w:widowControl/>
              <w:jc w:val="center"/>
              <w:textAlignment w:val="center"/>
              <w:rPr>
                <w:rFonts w:ascii="宋体" w:eastAsia="宋体" w:cs="宋体"/>
                <w:sz w:val="24"/>
                <w:szCs w:val="24"/>
              </w:rPr>
            </w:pPr>
            <w:r>
              <w:rPr>
                <w:rFonts w:hint="eastAsia" w:ascii="宋体" w:eastAsia="宋体" w:cs="宋体"/>
                <w:sz w:val="24"/>
                <w:szCs w:val="24"/>
              </w:rPr>
              <w:t>2</w:t>
            </w:r>
          </w:p>
        </w:tc>
        <w:tc>
          <w:tcPr>
            <w:tcW w:w="1803"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0</w:t>
            </w:r>
          </w:p>
        </w:tc>
      </w:tr>
    </w:tbl>
    <w:p>
      <w:pPr>
        <w:ind w:firstLine="562" w:firstLineChars="200"/>
        <w:rPr>
          <w:rFonts w:ascii="仿宋" w:hAnsi="仿宋" w:eastAsia="仿宋"/>
          <w:b/>
          <w:sz w:val="28"/>
          <w:szCs w:val="28"/>
        </w:rPr>
      </w:pPr>
      <w:r>
        <w:rPr>
          <w:rFonts w:hint="eastAsia" w:ascii="仿宋" w:hAnsi="仿宋" w:eastAsia="仿宋"/>
          <w:b/>
          <w:sz w:val="28"/>
          <w:szCs w:val="28"/>
        </w:rPr>
        <w:t>三、专业准入要求及综合评价办法</w:t>
      </w:r>
    </w:p>
    <w:p>
      <w:pPr>
        <w:ind w:firstLine="660"/>
        <w:rPr>
          <w:rFonts w:ascii="仿宋" w:hAnsi="仿宋" w:eastAsia="仿宋"/>
          <w:b/>
          <w:bCs/>
          <w:sz w:val="28"/>
          <w:szCs w:val="28"/>
        </w:rPr>
      </w:pPr>
      <w:r>
        <w:rPr>
          <w:rFonts w:hint="eastAsia" w:ascii="仿宋" w:hAnsi="仿宋" w:eastAsia="仿宋"/>
          <w:b/>
          <w:bCs/>
          <w:sz w:val="28"/>
          <w:szCs w:val="28"/>
        </w:rPr>
        <w:t>（一）专业准入要求</w:t>
      </w:r>
    </w:p>
    <w:p>
      <w:pPr>
        <w:ind w:firstLine="660"/>
        <w:rPr>
          <w:rFonts w:ascii="仿宋" w:hAnsi="仿宋" w:eastAsia="仿宋"/>
          <w:sz w:val="28"/>
          <w:szCs w:val="28"/>
        </w:rPr>
      </w:pPr>
      <w:r>
        <w:rPr>
          <w:rFonts w:hint="eastAsia" w:ascii="仿宋" w:hAnsi="仿宋" w:eastAsia="仿宋"/>
          <w:sz w:val="28"/>
          <w:szCs w:val="28"/>
        </w:rPr>
        <w:t>机械类各专业的准入要求（针对普通类学生）如下：</w:t>
      </w:r>
    </w:p>
    <w:p>
      <w:pPr>
        <w:widowControl/>
        <w:shd w:val="clear" w:color="auto" w:fill="FFFFFF"/>
        <w:spacing w:line="50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1.符合学校转专业的条件。</w:t>
      </w:r>
    </w:p>
    <w:p>
      <w:pPr>
        <w:widowControl/>
        <w:shd w:val="clear" w:color="auto" w:fill="FFFFFF"/>
        <w:spacing w:line="50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2.理工科相关类的学生（高考参加数学、</w:t>
      </w:r>
      <w:r>
        <w:rPr>
          <w:rFonts w:hint="eastAsia" w:ascii="仿宋" w:hAnsi="仿宋" w:eastAsia="仿宋" w:cs="仿宋"/>
          <w:kern w:val="0"/>
          <w:sz w:val="28"/>
          <w:szCs w:val="28"/>
          <w:highlight w:val="none"/>
        </w:rPr>
        <w:t>物理考试的考生</w:t>
      </w:r>
      <w:r>
        <w:rPr>
          <w:rFonts w:hint="eastAsia" w:ascii="仿宋" w:hAnsi="仿宋" w:eastAsia="仿宋" w:cs="仿宋"/>
          <w:kern w:val="0"/>
          <w:sz w:val="28"/>
          <w:szCs w:val="28"/>
        </w:rPr>
        <w:t>）。</w:t>
      </w:r>
    </w:p>
    <w:p>
      <w:pPr>
        <w:widowControl/>
        <w:shd w:val="clear" w:color="auto" w:fill="FFFFFF"/>
        <w:spacing w:line="50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lang w:val="en-US" w:eastAsia="zh-CN"/>
        </w:rPr>
        <w:t>3</w:t>
      </w:r>
      <w:r>
        <w:rPr>
          <w:rFonts w:hint="eastAsia" w:ascii="仿宋" w:hAnsi="仿宋" w:eastAsia="仿宋" w:cs="仿宋"/>
          <w:kern w:val="0"/>
          <w:sz w:val="28"/>
          <w:szCs w:val="28"/>
        </w:rPr>
        <w:t>.第一学期高等数学考试成绩在90分以上。</w:t>
      </w:r>
    </w:p>
    <w:p>
      <w:pPr>
        <w:widowControl/>
        <w:shd w:val="clear" w:color="auto" w:fill="FFFFFF"/>
        <w:spacing w:line="50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lang w:val="en-US" w:eastAsia="zh-CN"/>
        </w:rPr>
        <w:t>4</w:t>
      </w:r>
      <w:r>
        <w:rPr>
          <w:rFonts w:hint="eastAsia" w:ascii="仿宋" w:hAnsi="仿宋" w:eastAsia="仿宋" w:cs="仿宋"/>
          <w:kern w:val="0"/>
          <w:sz w:val="28"/>
          <w:szCs w:val="28"/>
        </w:rPr>
        <w:t>.工业设计专业不适合色盲学生。</w:t>
      </w:r>
    </w:p>
    <w:p>
      <w:pPr>
        <w:widowControl/>
        <w:shd w:val="clear" w:color="auto" w:fill="FFFFFF"/>
        <w:spacing w:line="50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lang w:val="en-US" w:eastAsia="zh-CN"/>
        </w:rPr>
        <w:t>5</w:t>
      </w:r>
      <w:r>
        <w:rPr>
          <w:rFonts w:hint="eastAsia" w:ascii="仿宋" w:hAnsi="仿宋" w:eastAsia="仿宋" w:cs="仿宋"/>
          <w:kern w:val="0"/>
          <w:sz w:val="28"/>
          <w:szCs w:val="28"/>
        </w:rPr>
        <w:t>.上表中标有*的专业为市级及以上一流本科专业（含建设点）， 申请此类专业的学生所有规定修读课程须全部通过且无补考记录。</w:t>
      </w:r>
    </w:p>
    <w:p>
      <w:pPr>
        <w:widowControl/>
        <w:shd w:val="clear" w:color="auto" w:fill="FFFFFF"/>
        <w:spacing w:line="50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特殊情形学生准入要求如下：</w:t>
      </w:r>
    </w:p>
    <w:p>
      <w:pPr>
        <w:widowControl/>
        <w:shd w:val="clear" w:color="auto" w:fill="FFFFFF"/>
        <w:spacing w:line="50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符合</w:t>
      </w:r>
      <w:r>
        <w:rPr>
          <w:rFonts w:hint="eastAsia" w:ascii="仿宋" w:hAnsi="仿宋" w:eastAsia="仿宋"/>
          <w:sz w:val="28"/>
          <w:szCs w:val="28"/>
        </w:rPr>
        <w:t>《天津科技大本科生转专业实施办法》（津科大发[2020]14号）中的要求即可。</w:t>
      </w:r>
    </w:p>
    <w:p>
      <w:pPr>
        <w:ind w:firstLine="660"/>
        <w:rPr>
          <w:rFonts w:ascii="仿宋" w:hAnsi="仿宋" w:eastAsia="仿宋"/>
          <w:b/>
          <w:bCs/>
          <w:sz w:val="28"/>
          <w:szCs w:val="28"/>
        </w:rPr>
      </w:pPr>
      <w:r>
        <w:rPr>
          <w:rFonts w:hint="eastAsia" w:ascii="仿宋" w:hAnsi="仿宋" w:eastAsia="仿宋"/>
          <w:b/>
          <w:bCs/>
          <w:sz w:val="28"/>
          <w:szCs w:val="28"/>
        </w:rPr>
        <w:t>（二）综合评价办法</w:t>
      </w:r>
    </w:p>
    <w:p>
      <w:pPr>
        <w:ind w:firstLine="560" w:firstLineChars="200"/>
        <w:rPr>
          <w:rFonts w:ascii="仿宋" w:hAnsi="仿宋" w:eastAsia="仿宋" w:cs="仿宋"/>
          <w:kern w:val="0"/>
          <w:sz w:val="28"/>
          <w:szCs w:val="28"/>
        </w:rPr>
      </w:pPr>
      <w:r>
        <w:rPr>
          <w:rFonts w:hint="eastAsia" w:ascii="仿宋" w:hAnsi="仿宋" w:eastAsia="仿宋" w:cs="仿宋"/>
          <w:kern w:val="0"/>
          <w:sz w:val="28"/>
          <w:szCs w:val="28"/>
        </w:rPr>
        <w:t>1.对普通类学生，学院根据综合成绩排名择优录取。</w:t>
      </w:r>
    </w:p>
    <w:p>
      <w:pPr>
        <w:ind w:firstLine="660"/>
        <w:rPr>
          <w:rFonts w:ascii="仿宋_GB2312" w:hAnsi="宋体" w:eastAsia="仿宋_GB2312"/>
          <w:snapToGrid w:val="0"/>
          <w:kern w:val="0"/>
          <w:sz w:val="28"/>
          <w:szCs w:val="28"/>
        </w:rPr>
      </w:pPr>
      <w:r>
        <w:rPr>
          <w:rFonts w:hint="eastAsia" w:ascii="仿宋_GB2312" w:hAnsi="宋体" w:eastAsia="仿宋_GB2312"/>
          <w:snapToGrid w:val="0"/>
          <w:kern w:val="0"/>
          <w:sz w:val="28"/>
          <w:szCs w:val="28"/>
        </w:rPr>
        <w:t>综合成绩分数=第一学期平均学分绩点核算得出的百分制成绩*80%+面试百分制成绩*20%。</w:t>
      </w:r>
    </w:p>
    <w:p>
      <w:pPr>
        <w:widowControl/>
        <w:spacing w:line="500" w:lineRule="auto"/>
        <w:ind w:firstLine="560" w:firstLineChars="200"/>
        <w:jc w:val="left"/>
        <w:rPr>
          <w:rFonts w:ascii="仿宋" w:hAnsi="仿宋" w:eastAsia="仿宋"/>
          <w:sz w:val="28"/>
          <w:szCs w:val="28"/>
        </w:rPr>
      </w:pPr>
      <w:r>
        <w:rPr>
          <w:rFonts w:hint="eastAsia" w:ascii="仿宋" w:hAnsi="仿宋" w:eastAsia="仿宋" w:cs="仿宋"/>
          <w:kern w:val="0"/>
          <w:sz w:val="28"/>
          <w:szCs w:val="28"/>
        </w:rPr>
        <w:t>面试内容由学院组织面试工作小组对申请者的综合素质和能力进行考核。</w:t>
      </w:r>
      <w:r>
        <w:rPr>
          <w:rFonts w:hint="eastAsia" w:ascii="仿宋" w:hAnsi="仿宋" w:eastAsia="仿宋"/>
          <w:sz w:val="28"/>
          <w:szCs w:val="28"/>
        </w:rPr>
        <w:t>面试主要考察学生是否符合本专业学习要求、学生转入意向、对转入专业的认知以及未来职业发展需求。</w:t>
      </w:r>
      <w:r>
        <w:rPr>
          <w:rFonts w:hint="eastAsia" w:ascii="仿宋_GB2312" w:hAnsi="宋体" w:eastAsia="仿宋_GB2312"/>
          <w:snapToGrid w:val="0"/>
          <w:kern w:val="0"/>
          <w:sz w:val="28"/>
          <w:szCs w:val="28"/>
        </w:rPr>
        <w:t>具体打分标准如下：</w:t>
      </w:r>
    </w:p>
    <w:tbl>
      <w:tblPr>
        <w:tblStyle w:val="7"/>
        <w:tblW w:w="8960" w:type="dxa"/>
        <w:tblInd w:w="96" w:type="dxa"/>
        <w:tblLayout w:type="fixed"/>
        <w:tblCellMar>
          <w:top w:w="0" w:type="dxa"/>
          <w:left w:w="108" w:type="dxa"/>
          <w:bottom w:w="0" w:type="dxa"/>
          <w:right w:w="108" w:type="dxa"/>
        </w:tblCellMar>
      </w:tblPr>
      <w:tblGrid>
        <w:gridCol w:w="2000"/>
        <w:gridCol w:w="680"/>
        <w:gridCol w:w="2000"/>
        <w:gridCol w:w="780"/>
        <w:gridCol w:w="3500"/>
      </w:tblGrid>
      <w:tr>
        <w:tblPrEx>
          <w:tblCellMar>
            <w:top w:w="0" w:type="dxa"/>
            <w:left w:w="108" w:type="dxa"/>
            <w:bottom w:w="0" w:type="dxa"/>
            <w:right w:w="108" w:type="dxa"/>
          </w:tblCellMar>
        </w:tblPrEx>
        <w:trPr>
          <w:trHeight w:val="744" w:hRule="atLeast"/>
        </w:trPr>
        <w:tc>
          <w:tcPr>
            <w:tcW w:w="2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面试内容</w:t>
            </w:r>
          </w:p>
        </w:tc>
        <w:tc>
          <w:tcPr>
            <w:tcW w:w="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分值</w:t>
            </w:r>
          </w:p>
        </w:tc>
        <w:tc>
          <w:tcPr>
            <w:tcW w:w="20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评分项</w:t>
            </w: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分值</w:t>
            </w:r>
          </w:p>
        </w:tc>
        <w:tc>
          <w:tcPr>
            <w:tcW w:w="35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标准</w:t>
            </w:r>
          </w:p>
        </w:tc>
      </w:tr>
      <w:tr>
        <w:tblPrEx>
          <w:tblCellMar>
            <w:top w:w="0" w:type="dxa"/>
            <w:left w:w="108" w:type="dxa"/>
            <w:bottom w:w="0" w:type="dxa"/>
            <w:right w:w="108" w:type="dxa"/>
          </w:tblCellMar>
        </w:tblPrEx>
        <w:trPr>
          <w:trHeight w:val="1068" w:hRule="atLeast"/>
        </w:trPr>
        <w:tc>
          <w:tcPr>
            <w:tcW w:w="20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自我介绍（包括学习经历、兴趣、爱好、特长等）</w:t>
            </w:r>
          </w:p>
        </w:tc>
        <w:tc>
          <w:tcPr>
            <w:tcW w:w="6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40分</w:t>
            </w:r>
          </w:p>
        </w:tc>
        <w:tc>
          <w:tcPr>
            <w:tcW w:w="2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时间（陈述3-5分钟）</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10</w:t>
            </w:r>
          </w:p>
        </w:tc>
        <w:tc>
          <w:tcPr>
            <w:tcW w:w="3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1.少于3分钟或多于5分钟扣2分；2.少于1分钟扣3-10分；3.大于6分钟，要求立即终止。</w:t>
            </w:r>
          </w:p>
        </w:tc>
      </w:tr>
      <w:tr>
        <w:tblPrEx>
          <w:tblCellMar>
            <w:top w:w="0" w:type="dxa"/>
            <w:left w:w="108" w:type="dxa"/>
            <w:bottom w:w="0" w:type="dxa"/>
            <w:right w:w="108" w:type="dxa"/>
          </w:tblCellMar>
        </w:tblPrEx>
        <w:trPr>
          <w:trHeight w:val="744" w:hRule="atLeast"/>
        </w:trPr>
        <w:tc>
          <w:tcPr>
            <w:tcW w:w="2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2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内容</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20</w:t>
            </w:r>
          </w:p>
        </w:tc>
        <w:tc>
          <w:tcPr>
            <w:tcW w:w="3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1.紧扣主题15分；2.内容全面，重点突出：5分。</w:t>
            </w:r>
          </w:p>
        </w:tc>
      </w:tr>
      <w:tr>
        <w:tblPrEx>
          <w:tblCellMar>
            <w:top w:w="0" w:type="dxa"/>
            <w:left w:w="108" w:type="dxa"/>
            <w:bottom w:w="0" w:type="dxa"/>
            <w:right w:w="108" w:type="dxa"/>
          </w:tblCellMar>
        </w:tblPrEx>
        <w:trPr>
          <w:trHeight w:val="744" w:hRule="atLeast"/>
        </w:trPr>
        <w:tc>
          <w:tcPr>
            <w:tcW w:w="2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2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逻辑表达</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10</w:t>
            </w:r>
          </w:p>
        </w:tc>
        <w:tc>
          <w:tcPr>
            <w:tcW w:w="3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1.层次清晰5分；2.表达流畅5分。</w:t>
            </w:r>
          </w:p>
        </w:tc>
      </w:tr>
      <w:tr>
        <w:tblPrEx>
          <w:tblCellMar>
            <w:top w:w="0" w:type="dxa"/>
            <w:left w:w="108" w:type="dxa"/>
            <w:bottom w:w="0" w:type="dxa"/>
            <w:right w:w="108" w:type="dxa"/>
          </w:tblCellMar>
        </w:tblPrEx>
        <w:trPr>
          <w:trHeight w:val="744" w:hRule="atLeast"/>
        </w:trPr>
        <w:tc>
          <w:tcPr>
            <w:tcW w:w="20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cs="宋体"/>
                <w:color w:val="000000"/>
                <w:kern w:val="0"/>
                <w:sz w:val="22"/>
              </w:rPr>
              <w:t>转专业动机、对转入专业的认知以及未来职业发展需求</w:t>
            </w:r>
          </w:p>
        </w:tc>
        <w:tc>
          <w:tcPr>
            <w:tcW w:w="6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50分</w:t>
            </w:r>
          </w:p>
        </w:tc>
        <w:tc>
          <w:tcPr>
            <w:tcW w:w="2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内容</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30</w:t>
            </w:r>
          </w:p>
        </w:tc>
        <w:tc>
          <w:tcPr>
            <w:tcW w:w="3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1.紧扣主题20分；2.内容全面，重点突出：10分。</w:t>
            </w:r>
          </w:p>
        </w:tc>
      </w:tr>
      <w:tr>
        <w:tblPrEx>
          <w:tblCellMar>
            <w:top w:w="0" w:type="dxa"/>
            <w:left w:w="108" w:type="dxa"/>
            <w:bottom w:w="0" w:type="dxa"/>
            <w:right w:w="108" w:type="dxa"/>
          </w:tblCellMar>
        </w:tblPrEx>
        <w:trPr>
          <w:trHeight w:val="744" w:hRule="atLeast"/>
        </w:trPr>
        <w:tc>
          <w:tcPr>
            <w:tcW w:w="2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2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逻辑表达</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20</w:t>
            </w:r>
          </w:p>
        </w:tc>
        <w:tc>
          <w:tcPr>
            <w:tcW w:w="3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1.层次清晰10分；2.表达流畅10分。</w:t>
            </w:r>
          </w:p>
        </w:tc>
      </w:tr>
      <w:tr>
        <w:tblPrEx>
          <w:tblCellMar>
            <w:top w:w="0" w:type="dxa"/>
            <w:left w:w="108" w:type="dxa"/>
            <w:bottom w:w="0" w:type="dxa"/>
            <w:right w:w="108" w:type="dxa"/>
          </w:tblCellMar>
        </w:tblPrEx>
        <w:trPr>
          <w:trHeight w:val="972" w:hRule="atLeast"/>
        </w:trPr>
        <w:tc>
          <w:tcPr>
            <w:tcW w:w="20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评委自主提问</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10分</w:t>
            </w:r>
          </w:p>
        </w:tc>
        <w:tc>
          <w:tcPr>
            <w:tcW w:w="2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根据考生回答情况，从内容、逻辑、表达等方面评分。</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10　</w:t>
            </w:r>
          </w:p>
        </w:tc>
        <w:tc>
          <w:tcPr>
            <w:tcW w:w="3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bl>
    <w:p>
      <w:pPr>
        <w:ind w:firstLine="660"/>
        <w:rPr>
          <w:rFonts w:ascii="仿宋" w:hAnsi="仿宋" w:eastAsia="仿宋"/>
          <w:sz w:val="28"/>
        </w:rPr>
      </w:pPr>
      <w:r>
        <w:rPr>
          <w:rFonts w:hint="eastAsia" w:ascii="仿宋" w:hAnsi="仿宋" w:eastAsia="仿宋"/>
          <w:sz w:val="28"/>
        </w:rPr>
        <w:t>2.特殊情形学生</w:t>
      </w:r>
    </w:p>
    <w:p>
      <w:pPr>
        <w:ind w:firstLine="660"/>
        <w:rPr>
          <w:rFonts w:ascii="仿宋" w:hAnsi="仿宋" w:eastAsia="仿宋"/>
          <w:sz w:val="28"/>
          <w:szCs w:val="28"/>
        </w:rPr>
      </w:pPr>
      <w:r>
        <w:rPr>
          <w:rFonts w:ascii="仿宋" w:hAnsi="仿宋" w:eastAsia="仿宋"/>
          <w:sz w:val="28"/>
        </w:rPr>
        <w:t>经审查符合因特殊</w:t>
      </w:r>
      <w:r>
        <w:rPr>
          <w:rFonts w:hint="eastAsia" w:ascii="仿宋" w:hAnsi="仿宋" w:eastAsia="仿宋"/>
          <w:sz w:val="28"/>
        </w:rPr>
        <w:t>情形（</w:t>
      </w:r>
      <w:r>
        <w:rPr>
          <w:rFonts w:hint="eastAsia" w:ascii="仿宋" w:hAnsi="仿宋" w:eastAsia="仿宋" w:cs="仿宋"/>
          <w:kern w:val="0"/>
          <w:sz w:val="28"/>
          <w:szCs w:val="28"/>
        </w:rPr>
        <w:t>《天津科技大学本科生转专业实施办法》（津科大发【</w:t>
      </w:r>
      <w:r>
        <w:rPr>
          <w:rFonts w:ascii="仿宋" w:hAnsi="仿宋" w:eastAsia="仿宋" w:cs="仿宋"/>
          <w:kern w:val="0"/>
          <w:sz w:val="28"/>
          <w:szCs w:val="28"/>
        </w:rPr>
        <w:t>20</w:t>
      </w:r>
      <w:r>
        <w:rPr>
          <w:rFonts w:hint="eastAsia" w:ascii="仿宋" w:hAnsi="仿宋" w:eastAsia="仿宋" w:cs="仿宋"/>
          <w:kern w:val="0"/>
          <w:sz w:val="28"/>
          <w:szCs w:val="28"/>
        </w:rPr>
        <w:t>20】</w:t>
      </w:r>
      <w:r>
        <w:rPr>
          <w:rFonts w:ascii="仿宋" w:hAnsi="仿宋" w:eastAsia="仿宋" w:cs="仿宋"/>
          <w:kern w:val="0"/>
          <w:sz w:val="28"/>
          <w:szCs w:val="28"/>
        </w:rPr>
        <w:t>14</w:t>
      </w:r>
      <w:r>
        <w:rPr>
          <w:rFonts w:hint="eastAsia" w:ascii="仿宋" w:hAnsi="仿宋" w:eastAsia="仿宋" w:cs="仿宋"/>
          <w:kern w:val="0"/>
          <w:sz w:val="28"/>
          <w:szCs w:val="28"/>
        </w:rPr>
        <w:t>号）第九条</w:t>
      </w:r>
      <w:r>
        <w:rPr>
          <w:rFonts w:hint="eastAsia" w:ascii="仿宋" w:hAnsi="仿宋" w:eastAsia="仿宋"/>
          <w:sz w:val="28"/>
        </w:rPr>
        <w:t>）申请转专业</w:t>
      </w:r>
      <w:r>
        <w:rPr>
          <w:rFonts w:ascii="仿宋" w:hAnsi="仿宋" w:eastAsia="仿宋"/>
          <w:sz w:val="28"/>
        </w:rPr>
        <w:t>的学生，参加</w:t>
      </w:r>
      <w:r>
        <w:rPr>
          <w:rFonts w:hint="eastAsia" w:ascii="仿宋" w:hAnsi="仿宋" w:eastAsia="仿宋"/>
          <w:sz w:val="28"/>
        </w:rPr>
        <w:t>学院</w:t>
      </w:r>
      <w:r>
        <w:rPr>
          <w:rFonts w:ascii="仿宋" w:hAnsi="仿宋" w:eastAsia="仿宋"/>
          <w:sz w:val="28"/>
        </w:rPr>
        <w:t>面试，通过提问等形式审核学生对专业的了解和喜爱程度，掌握学生学习的情况，</w:t>
      </w:r>
      <w:r>
        <w:rPr>
          <w:rFonts w:hint="eastAsia" w:ascii="仿宋" w:hAnsi="仿宋" w:eastAsia="仿宋"/>
          <w:sz w:val="28"/>
        </w:rPr>
        <w:t>经学术委员会</w:t>
      </w:r>
      <w:r>
        <w:rPr>
          <w:rFonts w:ascii="仿宋" w:hAnsi="仿宋" w:eastAsia="仿宋"/>
          <w:sz w:val="28"/>
        </w:rPr>
        <w:t>确定是否适合在该专业修读，并且经学院党政联席会议讨论确定是否接收。</w:t>
      </w:r>
    </w:p>
    <w:p>
      <w:pPr>
        <w:numPr>
          <w:ilvl w:val="0"/>
          <w:numId w:val="2"/>
        </w:numPr>
        <w:ind w:firstLine="660"/>
        <w:rPr>
          <w:rFonts w:ascii="仿宋" w:hAnsi="仿宋" w:eastAsia="仿宋"/>
          <w:b/>
          <w:sz w:val="28"/>
          <w:szCs w:val="28"/>
        </w:rPr>
      </w:pPr>
      <w:r>
        <w:rPr>
          <w:rFonts w:hint="eastAsia" w:ascii="仿宋" w:hAnsi="仿宋" w:eastAsia="仿宋"/>
          <w:b/>
          <w:sz w:val="28"/>
          <w:szCs w:val="28"/>
        </w:rPr>
        <w:t>工作流程</w:t>
      </w:r>
    </w:p>
    <w:p>
      <w:pPr>
        <w:adjustRightInd w:val="0"/>
        <w:snapToGrid w:val="0"/>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1.在学院网站上公布《天津科技大学本科生转专业实施办法》和《机械工程学院2020年接收本科生转专业工作细则》。</w:t>
      </w:r>
    </w:p>
    <w:p>
      <w:pPr>
        <w:widowControl/>
        <w:shd w:val="clear" w:color="auto" w:fill="FFFFFF"/>
        <w:spacing w:line="500" w:lineRule="auto"/>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2.学生自主报名，提交申请书和相关证明材料。学生需提交成绩单1份及由转出学院开具的第一学期平均学分绩点证明。因特殊情形申请转入机械工程学院的学生需要在申请书中写清楚自身情况属于《天津科技大学本科生转专业实施办法》（津科大发【</w:t>
      </w:r>
      <w:r>
        <w:rPr>
          <w:rFonts w:ascii="仿宋" w:hAnsi="仿宋" w:eastAsia="仿宋" w:cs="仿宋"/>
          <w:kern w:val="0"/>
          <w:sz w:val="28"/>
          <w:szCs w:val="28"/>
        </w:rPr>
        <w:t>20</w:t>
      </w:r>
      <w:r>
        <w:rPr>
          <w:rFonts w:hint="eastAsia" w:ascii="仿宋" w:hAnsi="仿宋" w:eastAsia="仿宋" w:cs="仿宋"/>
          <w:kern w:val="0"/>
          <w:sz w:val="28"/>
          <w:szCs w:val="28"/>
        </w:rPr>
        <w:t>20】</w:t>
      </w:r>
      <w:r>
        <w:rPr>
          <w:rFonts w:ascii="仿宋" w:hAnsi="仿宋" w:eastAsia="仿宋" w:cs="仿宋"/>
          <w:kern w:val="0"/>
          <w:sz w:val="28"/>
          <w:szCs w:val="28"/>
        </w:rPr>
        <w:t>14</w:t>
      </w:r>
      <w:r>
        <w:rPr>
          <w:rFonts w:hint="eastAsia" w:ascii="仿宋" w:hAnsi="仿宋" w:eastAsia="仿宋" w:cs="仿宋"/>
          <w:kern w:val="0"/>
          <w:sz w:val="28"/>
          <w:szCs w:val="28"/>
        </w:rPr>
        <w:t>号）第九条的第几款。</w:t>
      </w:r>
    </w:p>
    <w:p>
      <w:pPr>
        <w:widowControl/>
        <w:spacing w:line="500" w:lineRule="auto"/>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3</w:t>
      </w:r>
      <w:r>
        <w:rPr>
          <w:rFonts w:ascii="仿宋" w:hAnsi="仿宋" w:eastAsia="仿宋" w:cs="仿宋"/>
          <w:kern w:val="0"/>
          <w:sz w:val="28"/>
          <w:szCs w:val="28"/>
        </w:rPr>
        <w:t>.</w:t>
      </w:r>
      <w:r>
        <w:rPr>
          <w:rFonts w:hint="eastAsia" w:ascii="仿宋" w:hAnsi="仿宋" w:eastAsia="仿宋" w:cs="仿宋"/>
          <w:kern w:val="0"/>
          <w:sz w:val="28"/>
          <w:szCs w:val="28"/>
        </w:rPr>
        <w:t>学院审核并确定面试名单。对申请转入的学生相关材料进行审核。对普通类学生，根据申请进入各专业学生的第一学期平均学分绩点进行排序确定进入面试的学生名单（具体数量为转入专业普通类接收名额的120%）。特殊情形学生全部进入面试。</w:t>
      </w:r>
    </w:p>
    <w:p>
      <w:pPr>
        <w:widowControl/>
        <w:spacing w:line="500" w:lineRule="auto"/>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4</w:t>
      </w:r>
      <w:r>
        <w:rPr>
          <w:rFonts w:ascii="仿宋" w:hAnsi="仿宋" w:eastAsia="仿宋" w:cs="仿宋"/>
          <w:kern w:val="0"/>
          <w:sz w:val="28"/>
          <w:szCs w:val="28"/>
        </w:rPr>
        <w:t>.</w:t>
      </w:r>
      <w:r>
        <w:rPr>
          <w:rFonts w:hint="eastAsia" w:ascii="仿宋" w:hAnsi="仿宋" w:eastAsia="仿宋" w:cs="仿宋"/>
          <w:kern w:val="0"/>
          <w:sz w:val="28"/>
          <w:szCs w:val="28"/>
        </w:rPr>
        <w:t>面试。面试缺考者，视为自动放弃转专业资格，不再另行组织面试。</w:t>
      </w:r>
    </w:p>
    <w:p>
      <w:pPr>
        <w:adjustRightInd w:val="0"/>
        <w:snapToGrid w:val="0"/>
        <w:spacing w:line="360" w:lineRule="auto"/>
        <w:ind w:firstLine="560" w:firstLineChars="200"/>
        <w:rPr>
          <w:rFonts w:ascii="仿宋_GB2312" w:hAnsi="宋体" w:eastAsia="仿宋"/>
          <w:snapToGrid w:val="0"/>
          <w:kern w:val="0"/>
          <w:sz w:val="28"/>
          <w:szCs w:val="28"/>
        </w:rPr>
      </w:pPr>
      <w:r>
        <w:rPr>
          <w:rFonts w:hint="eastAsia" w:ascii="仿宋" w:hAnsi="仿宋" w:eastAsia="仿宋" w:cs="仿宋"/>
          <w:kern w:val="0"/>
          <w:sz w:val="28"/>
          <w:szCs w:val="28"/>
        </w:rPr>
        <w:t>5.对普通类学生综合成绩进行核算，按综合成绩排名择优录取，形成拟接收名单并进行学院公示，公示期为3天。对拟接收的特殊情形学生进行学院公示，公示期为3天。</w:t>
      </w:r>
    </w:p>
    <w:p>
      <w:pPr>
        <w:widowControl/>
        <w:spacing w:line="500" w:lineRule="auto"/>
        <w:ind w:left="19" w:leftChars="9" w:firstLine="520" w:firstLineChars="186"/>
        <w:jc w:val="left"/>
        <w:rPr>
          <w:rFonts w:ascii="仿宋" w:hAnsi="仿宋" w:eastAsia="仿宋"/>
          <w:sz w:val="28"/>
          <w:szCs w:val="28"/>
        </w:rPr>
      </w:pPr>
      <w:r>
        <w:rPr>
          <w:rFonts w:hint="eastAsia" w:ascii="仿宋" w:hAnsi="仿宋" w:eastAsia="仿宋"/>
          <w:sz w:val="28"/>
          <w:szCs w:val="28"/>
        </w:rPr>
        <w:t>6.学院公示后的拟接收名单报教务处审核、公示，提交学校审批。</w:t>
      </w:r>
    </w:p>
    <w:p>
      <w:pPr>
        <w:ind w:firstLine="560" w:firstLineChars="200"/>
        <w:rPr>
          <w:rFonts w:ascii="仿宋" w:hAnsi="仿宋" w:eastAsia="仿宋"/>
          <w:b/>
          <w:sz w:val="28"/>
          <w:szCs w:val="28"/>
        </w:rPr>
      </w:pPr>
      <w:r>
        <w:rPr>
          <w:rFonts w:hint="eastAsia" w:ascii="仿宋" w:hAnsi="仿宋" w:eastAsia="仿宋"/>
          <w:sz w:val="28"/>
          <w:szCs w:val="28"/>
        </w:rPr>
        <w:t>7.</w:t>
      </w:r>
      <w:r>
        <w:rPr>
          <w:rFonts w:hint="eastAsia" w:ascii="仿宋" w:hAnsi="仿宋" w:eastAsia="仿宋" w:cs="仿宋"/>
          <w:kern w:val="0"/>
          <w:sz w:val="28"/>
          <w:szCs w:val="28"/>
        </w:rPr>
        <w:t>转专业结果一经确定，不得变更。转专业学生先进入机械类，等到机械类学生进行专业选择时，转专业学生直接进入此次申请的专业，不再参与专业选择。转专业学生按照转入专业的培养方案修读课程，所缺课程需按要求补修。特别提示：机械工程学院2019级学生学习机械制图-1，机械制图-2，大学物理B-1,大学物理B-2，高等数学A-1,高等数学A-2。</w:t>
      </w:r>
    </w:p>
    <w:p>
      <w:pPr>
        <w:rPr>
          <w:rFonts w:ascii="仿宋" w:hAnsi="仿宋" w:eastAsia="仿宋"/>
          <w:b/>
          <w:sz w:val="28"/>
          <w:szCs w:val="28"/>
        </w:rPr>
      </w:pPr>
      <w:r>
        <w:rPr>
          <w:rFonts w:hint="eastAsia" w:ascii="仿宋" w:hAnsi="仿宋" w:eastAsia="仿宋"/>
          <w:b/>
          <w:sz w:val="28"/>
          <w:szCs w:val="28"/>
        </w:rPr>
        <w:t xml:space="preserve">     五、联系方式</w:t>
      </w:r>
    </w:p>
    <w:p>
      <w:pPr>
        <w:ind w:firstLine="560" w:firstLineChars="200"/>
        <w:rPr>
          <w:rFonts w:hint="eastAsia" w:ascii="仿宋" w:hAnsi="仿宋" w:eastAsia="仿宋"/>
          <w:bCs/>
          <w:sz w:val="28"/>
          <w:szCs w:val="28"/>
        </w:rPr>
      </w:pPr>
      <w:r>
        <w:rPr>
          <w:rFonts w:hint="eastAsia" w:ascii="仿宋" w:hAnsi="仿宋" w:eastAsia="仿宋"/>
          <w:bCs/>
          <w:sz w:val="28"/>
          <w:szCs w:val="28"/>
        </w:rPr>
        <w:t>联系电话：022-60600710   联系人：</w:t>
      </w:r>
      <w:r>
        <w:rPr>
          <w:rFonts w:hint="eastAsia" w:ascii="仿宋" w:hAnsi="仿宋" w:eastAsia="仿宋"/>
          <w:bCs/>
          <w:sz w:val="28"/>
          <w:szCs w:val="28"/>
          <w:lang w:eastAsia="zh-CN"/>
        </w:rPr>
        <w:t>陈</w:t>
      </w:r>
      <w:r>
        <w:rPr>
          <w:rFonts w:hint="eastAsia" w:ascii="仿宋" w:hAnsi="仿宋" w:eastAsia="仿宋"/>
          <w:bCs/>
          <w:sz w:val="28"/>
          <w:szCs w:val="28"/>
        </w:rPr>
        <w:t>老师</w:t>
      </w:r>
    </w:p>
    <w:p>
      <w:pPr>
        <w:ind w:firstLine="560" w:firstLineChars="200"/>
        <w:rPr>
          <w:rFonts w:hint="default" w:ascii="仿宋" w:hAnsi="仿宋" w:eastAsia="仿宋"/>
          <w:bCs/>
          <w:sz w:val="28"/>
          <w:szCs w:val="28"/>
          <w:lang w:val="en-US" w:eastAsia="zh-CN"/>
        </w:rPr>
      </w:pPr>
      <w:r>
        <w:rPr>
          <w:rFonts w:hint="eastAsia" w:ascii="仿宋" w:hAnsi="仿宋" w:eastAsia="仿宋"/>
          <w:bCs/>
          <w:sz w:val="28"/>
          <w:szCs w:val="28"/>
          <w:lang w:val="en-US" w:eastAsia="zh-CN"/>
        </w:rPr>
        <w:t>地址：河西校区12-306室</w:t>
      </w:r>
    </w:p>
    <w:p>
      <w:pPr>
        <w:ind w:firstLine="562" w:firstLineChars="200"/>
        <w:jc w:val="left"/>
        <w:rPr>
          <w:rFonts w:ascii="仿宋" w:hAnsi="仿宋" w:eastAsia="仿宋"/>
          <w:b/>
          <w:sz w:val="28"/>
          <w:szCs w:val="28"/>
        </w:rPr>
      </w:pPr>
      <w:r>
        <w:rPr>
          <w:rFonts w:hint="eastAsia" w:ascii="仿宋" w:hAnsi="仿宋" w:eastAsia="仿宋"/>
          <w:b/>
          <w:sz w:val="28"/>
          <w:szCs w:val="28"/>
        </w:rPr>
        <w:t xml:space="preserve">本细则未尽事宜，由机械工程学院负责解释。                            </w:t>
      </w:r>
    </w:p>
    <w:p>
      <w:pPr>
        <w:jc w:val="left"/>
        <w:rPr>
          <w:rFonts w:ascii="仿宋" w:hAnsi="仿宋" w:eastAsia="仿宋"/>
          <w:b/>
          <w:sz w:val="28"/>
          <w:szCs w:val="28"/>
        </w:rPr>
      </w:pPr>
      <w:bookmarkStart w:id="0" w:name="_GoBack"/>
      <w:bookmarkEnd w:id="0"/>
    </w:p>
    <w:p>
      <w:pPr>
        <w:jc w:val="center"/>
        <w:rPr>
          <w:rFonts w:ascii="仿宋" w:hAnsi="仿宋" w:eastAsia="仿宋"/>
          <w:sz w:val="28"/>
          <w:szCs w:val="28"/>
        </w:rPr>
      </w:pPr>
      <w:r>
        <w:rPr>
          <w:rFonts w:hint="eastAsia" w:ascii="仿宋" w:hAnsi="仿宋" w:eastAsia="仿宋"/>
          <w:sz w:val="28"/>
          <w:szCs w:val="28"/>
        </w:rPr>
        <w:t xml:space="preserve">                                           机械工程学院</w:t>
      </w:r>
    </w:p>
    <w:p>
      <w:pPr>
        <w:ind w:firstLine="660"/>
        <w:rPr>
          <w:rFonts w:ascii="仿宋" w:hAnsi="仿宋" w:eastAsia="仿宋"/>
          <w:sz w:val="28"/>
          <w:szCs w:val="28"/>
        </w:rPr>
      </w:pPr>
      <w:r>
        <w:rPr>
          <w:rFonts w:hint="eastAsia" w:ascii="仿宋" w:hAnsi="仿宋" w:eastAsia="仿宋"/>
          <w:sz w:val="28"/>
          <w:szCs w:val="28"/>
        </w:rPr>
        <w:t xml:space="preserve">                                       2020年</w:t>
      </w:r>
      <w:r>
        <w:rPr>
          <w:rFonts w:hint="eastAsia" w:ascii="仿宋" w:hAnsi="仿宋" w:eastAsia="仿宋"/>
          <w:sz w:val="28"/>
          <w:szCs w:val="28"/>
          <w:lang w:val="en-US" w:eastAsia="zh-CN"/>
        </w:rPr>
        <w:t>6</w:t>
      </w:r>
      <w:r>
        <w:rPr>
          <w:rFonts w:hint="eastAsia" w:ascii="仿宋" w:hAnsi="仿宋" w:eastAsia="仿宋"/>
          <w:sz w:val="28"/>
          <w:szCs w:val="28"/>
        </w:rPr>
        <w:t>月1</w:t>
      </w:r>
      <w:r>
        <w:rPr>
          <w:rFonts w:hint="eastAsia" w:ascii="仿宋" w:hAnsi="仿宋" w:eastAsia="仿宋"/>
          <w:sz w:val="28"/>
          <w:szCs w:val="28"/>
          <w:lang w:val="en-US" w:eastAsia="zh-CN"/>
        </w:rPr>
        <w:t>7</w:t>
      </w:r>
      <w:r>
        <w:rPr>
          <w:rFonts w:hint="eastAsia" w:ascii="仿宋" w:hAnsi="仿宋" w:eastAsia="仿宋"/>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D9BF06"/>
    <w:multiLevelType w:val="singleLevel"/>
    <w:tmpl w:val="E2D9BF06"/>
    <w:lvl w:ilvl="0" w:tentative="0">
      <w:start w:val="4"/>
      <w:numFmt w:val="chineseCounting"/>
      <w:suff w:val="nothing"/>
      <w:lvlText w:val="%1、"/>
      <w:lvlJc w:val="left"/>
      <w:rPr>
        <w:rFonts w:hint="eastAsia"/>
      </w:rPr>
    </w:lvl>
  </w:abstractNum>
  <w:abstractNum w:abstractNumId="1">
    <w:nsid w:val="EDBAE532"/>
    <w:multiLevelType w:val="singleLevel"/>
    <w:tmpl w:val="EDBAE532"/>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575FB"/>
    <w:rsid w:val="00040A2D"/>
    <w:rsid w:val="0006723E"/>
    <w:rsid w:val="000D30F1"/>
    <w:rsid w:val="00230869"/>
    <w:rsid w:val="00247686"/>
    <w:rsid w:val="00285CE3"/>
    <w:rsid w:val="002D490C"/>
    <w:rsid w:val="002E7DAB"/>
    <w:rsid w:val="003542B2"/>
    <w:rsid w:val="00442A04"/>
    <w:rsid w:val="0044693E"/>
    <w:rsid w:val="004575FB"/>
    <w:rsid w:val="004747A3"/>
    <w:rsid w:val="004936B8"/>
    <w:rsid w:val="004E001E"/>
    <w:rsid w:val="00506443"/>
    <w:rsid w:val="00587585"/>
    <w:rsid w:val="005879CE"/>
    <w:rsid w:val="00711C95"/>
    <w:rsid w:val="00725C4D"/>
    <w:rsid w:val="0074492A"/>
    <w:rsid w:val="007814C6"/>
    <w:rsid w:val="00782DAD"/>
    <w:rsid w:val="007A013D"/>
    <w:rsid w:val="007C35F5"/>
    <w:rsid w:val="007F1570"/>
    <w:rsid w:val="007F79D8"/>
    <w:rsid w:val="00885CD8"/>
    <w:rsid w:val="009549B2"/>
    <w:rsid w:val="0096546C"/>
    <w:rsid w:val="00971BC5"/>
    <w:rsid w:val="009B6A7B"/>
    <w:rsid w:val="009C47A2"/>
    <w:rsid w:val="009D6322"/>
    <w:rsid w:val="00A33C2F"/>
    <w:rsid w:val="00A82600"/>
    <w:rsid w:val="00A841E6"/>
    <w:rsid w:val="00AE41D3"/>
    <w:rsid w:val="00AF4D7C"/>
    <w:rsid w:val="00B10DFD"/>
    <w:rsid w:val="00B45AED"/>
    <w:rsid w:val="00BF321C"/>
    <w:rsid w:val="00C27EDC"/>
    <w:rsid w:val="00C72A34"/>
    <w:rsid w:val="00C74820"/>
    <w:rsid w:val="00C74D1C"/>
    <w:rsid w:val="00CA5600"/>
    <w:rsid w:val="00CB509D"/>
    <w:rsid w:val="00CD082A"/>
    <w:rsid w:val="00D45F51"/>
    <w:rsid w:val="00D969E3"/>
    <w:rsid w:val="00DF3E5D"/>
    <w:rsid w:val="00E00A33"/>
    <w:rsid w:val="00E72FE4"/>
    <w:rsid w:val="00E76B64"/>
    <w:rsid w:val="00E91E1B"/>
    <w:rsid w:val="00F00352"/>
    <w:rsid w:val="00F4015D"/>
    <w:rsid w:val="00F41942"/>
    <w:rsid w:val="00F64C2C"/>
    <w:rsid w:val="01C511DE"/>
    <w:rsid w:val="025A48DD"/>
    <w:rsid w:val="05082B15"/>
    <w:rsid w:val="05D936E1"/>
    <w:rsid w:val="0AD37E46"/>
    <w:rsid w:val="0BF40C62"/>
    <w:rsid w:val="15DF226C"/>
    <w:rsid w:val="16F87829"/>
    <w:rsid w:val="1A90014B"/>
    <w:rsid w:val="1C5351B3"/>
    <w:rsid w:val="281E6C5A"/>
    <w:rsid w:val="2840444D"/>
    <w:rsid w:val="290942C4"/>
    <w:rsid w:val="296C4320"/>
    <w:rsid w:val="2BB52398"/>
    <w:rsid w:val="2F333DA3"/>
    <w:rsid w:val="30A601A3"/>
    <w:rsid w:val="310D34F3"/>
    <w:rsid w:val="35041BB1"/>
    <w:rsid w:val="36FB2E9B"/>
    <w:rsid w:val="39A136A8"/>
    <w:rsid w:val="3A2F79B4"/>
    <w:rsid w:val="3AA17A8B"/>
    <w:rsid w:val="3BAF64B7"/>
    <w:rsid w:val="3D216358"/>
    <w:rsid w:val="3D2829B5"/>
    <w:rsid w:val="407B7FDB"/>
    <w:rsid w:val="40EA4EED"/>
    <w:rsid w:val="418275F1"/>
    <w:rsid w:val="418A4A55"/>
    <w:rsid w:val="44282F29"/>
    <w:rsid w:val="483C40F1"/>
    <w:rsid w:val="484A0AD8"/>
    <w:rsid w:val="497F0A74"/>
    <w:rsid w:val="49AF5BBF"/>
    <w:rsid w:val="548F1CA9"/>
    <w:rsid w:val="55887B2C"/>
    <w:rsid w:val="58F40365"/>
    <w:rsid w:val="59A124B5"/>
    <w:rsid w:val="59A47855"/>
    <w:rsid w:val="59FC7A97"/>
    <w:rsid w:val="5A4C575D"/>
    <w:rsid w:val="5ABD194A"/>
    <w:rsid w:val="5E040F8F"/>
    <w:rsid w:val="5F893A79"/>
    <w:rsid w:val="5F9F5818"/>
    <w:rsid w:val="62A81DA4"/>
    <w:rsid w:val="65191E90"/>
    <w:rsid w:val="6ED467C4"/>
    <w:rsid w:val="6F200645"/>
    <w:rsid w:val="716D3C12"/>
    <w:rsid w:val="730F0C16"/>
    <w:rsid w:val="73725637"/>
    <w:rsid w:val="76485BC9"/>
    <w:rsid w:val="76970902"/>
    <w:rsid w:val="7AA93A0B"/>
    <w:rsid w:val="7D5C5C6E"/>
    <w:rsid w:val="7EFC33C2"/>
    <w:rsid w:val="7FD63C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7"/>
    <w:semiHidden/>
    <w:unhideWhenUsed/>
    <w:qFormat/>
    <w:uiPriority w:val="99"/>
    <w:rPr>
      <w:b/>
      <w:bCs/>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paragraph" w:styleId="11">
    <w:name w:val="List Paragraph"/>
    <w:basedOn w:val="1"/>
    <w:qFormat/>
    <w:uiPriority w:val="34"/>
    <w:pPr>
      <w:ind w:firstLine="420" w:firstLineChars="200"/>
    </w:p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character" w:customStyle="1" w:styleId="14">
    <w:name w:val="批注框文本 Char"/>
    <w:basedOn w:val="9"/>
    <w:link w:val="3"/>
    <w:semiHidden/>
    <w:qFormat/>
    <w:uiPriority w:val="99"/>
    <w:rPr>
      <w:kern w:val="2"/>
      <w:sz w:val="18"/>
      <w:szCs w:val="18"/>
    </w:rPr>
  </w:style>
  <w:style w:type="paragraph" w:customStyle="1" w:styleId="15">
    <w:name w:val="Default"/>
    <w:unhideWhenUsed/>
    <w:qFormat/>
    <w:uiPriority w:val="0"/>
    <w:pPr>
      <w:widowControl w:val="0"/>
      <w:autoSpaceDE w:val="0"/>
      <w:autoSpaceDN w:val="0"/>
      <w:adjustRightInd w:val="0"/>
    </w:pPr>
    <w:rPr>
      <w:rFonts w:hint="eastAsia" w:ascii="方正小标宋简体" w:hAnsi="Calibri" w:eastAsia="方正小标宋简体" w:cs="Times New Roman"/>
      <w:color w:val="000000"/>
      <w:sz w:val="24"/>
      <w:lang w:val="en-US" w:eastAsia="zh-CN" w:bidi="ar-SA"/>
    </w:rPr>
  </w:style>
  <w:style w:type="character" w:customStyle="1" w:styleId="16">
    <w:name w:val="批注文字 Char"/>
    <w:basedOn w:val="9"/>
    <w:link w:val="2"/>
    <w:semiHidden/>
    <w:qFormat/>
    <w:uiPriority w:val="99"/>
    <w:rPr>
      <w:kern w:val="2"/>
      <w:sz w:val="21"/>
      <w:szCs w:val="22"/>
    </w:rPr>
  </w:style>
  <w:style w:type="character" w:customStyle="1" w:styleId="17">
    <w:name w:val="批注主题 Char"/>
    <w:basedOn w:val="16"/>
    <w:link w:val="6"/>
    <w:semiHidden/>
    <w:qFormat/>
    <w:uiPriority w:val="99"/>
    <w:rPr>
      <w:b/>
      <w:bCs/>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298</Words>
  <Characters>1705</Characters>
  <Lines>14</Lines>
  <Paragraphs>3</Paragraphs>
  <TotalTime>34</TotalTime>
  <ScaleCrop>false</ScaleCrop>
  <LinksUpToDate>false</LinksUpToDate>
  <CharactersWithSpaces>2000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2019-06-21T09:09:00Z</dcterms:created>
  <dc:creator>Windows 用户</dc:creator>
  <cp:lastModifiedBy>Administrator</cp:lastModifiedBy>
  <cp:lastPrinted>2019-06-26T00:25:00Z</cp:lastPrinted>
  <dcterms:modified xsi:type="dcterms:W3CDTF">2020-06-18T04:59:17Z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